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DE6537" w:rsidRDefault="00E60388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خارج اصول-جلسه سی و نهم-سه شنبه 13/ 9/ 97</w:t>
      </w:r>
    </w:p>
    <w:p w:rsidR="00E60388" w:rsidRPr="00DE6537" w:rsidRDefault="00EB0392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حدیث-امروز بجای حدیث یک بیت شعر از ایرج میرزا</w:t>
      </w:r>
      <w:r w:rsidR="00DB3673" w:rsidRPr="00DE6537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EB0392" w:rsidRPr="00DE6537" w:rsidRDefault="00EB0392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بعداز پسر دل پدر آماج تیر شد                آتش زدند لانه مرغ پریده را</w:t>
      </w:r>
    </w:p>
    <w:p w:rsidR="00EB0392" w:rsidRPr="00DE6537" w:rsidRDefault="00EB0392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ایرج میرزا شخص عجیبی است؛ دیوان شعری دارد که یکی از شعرهایش این است:</w:t>
      </w:r>
    </w:p>
    <w:p w:rsidR="00EB0392" w:rsidRPr="00DE6537" w:rsidRDefault="00EB0392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خداوندا مگر بیکار بودی </w:t>
      </w:r>
      <w:r w:rsidR="009967DF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                       تو این آخوند و ملا آفریدی</w:t>
      </w:r>
    </w:p>
    <w:p w:rsidR="009967DF" w:rsidRPr="00DE6537" w:rsidRDefault="00AF38EC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من از یکی از شاگردان علامه</w:t>
      </w:r>
      <w:r w:rsidR="00650874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طباطبائی</w:t>
      </w:r>
      <w:r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که خودش در آن جلسه حضور داشته</w:t>
      </w:r>
      <w:r w:rsidR="00650874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شنیدم: آیت الله مداح از علمای قم که منبری و روضه خوان هم بوده در بیت علامه منبر رفت و بعد از منبر همین شعر را خواند:</w:t>
      </w:r>
    </w:p>
    <w:p w:rsidR="00650874" w:rsidRPr="00DE6537" w:rsidRDefault="00650874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رسم است هرکه داغ جوان دیده، دوستان**رأفت برند حالت آن داغدیده را</w:t>
      </w:r>
    </w:p>
    <w:p w:rsidR="00650874" w:rsidRPr="00DE6537" w:rsidRDefault="00182273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...</w:t>
      </w:r>
      <w:r w:rsidR="00650874" w:rsidRPr="00DE6537">
        <w:rPr>
          <w:rFonts w:ascii="Noor_Badr" w:hAnsi="Noor_Badr" w:cs="Noor_Badr"/>
          <w:sz w:val="32"/>
          <w:szCs w:val="32"/>
          <w:rtl/>
          <w:lang w:bidi="fa-IR"/>
        </w:rPr>
        <w:t>بعداز پسر دل پدر آماج تیر شد</w:t>
      </w:r>
      <w:r w:rsidRPr="00DE6537">
        <w:rPr>
          <w:rFonts w:ascii="Noor_Badr" w:hAnsi="Noor_Badr" w:cs="Noor_Badr"/>
          <w:sz w:val="32"/>
          <w:szCs w:val="32"/>
          <w:rtl/>
          <w:lang w:bidi="fa-IR"/>
        </w:rPr>
        <w:t>...</w:t>
      </w:r>
    </w:p>
    <w:p w:rsidR="00182273" w:rsidRPr="00DE6537" w:rsidRDefault="00182273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تا به این</w:t>
      </w:r>
      <w:bookmarkStart w:id="0" w:name="_GoBack"/>
      <w:bookmarkEnd w:id="0"/>
      <w:r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بیت رسید علامه فرمود دوباره بخوان تا چند بار فرمود و او هم خواند وعلامه درهربار به شدت گریه می کرد؛ وقتی مجلس تمام شد علامه همینطور نشسته بود و همین بیت را با خود زمزمه می کرد و روی پایش می زد و گریه می کرد؛ بعد فرمود من حاضرم ثواب المیزان را با ثواب این یک بیت عوض کنم؛ من به ایشان گف</w:t>
      </w:r>
      <w:r w:rsidR="006B49C8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تم این شعر از ایرج میرزاست، </w:t>
      </w:r>
      <w:r w:rsidR="00284EF1" w:rsidRPr="00DE6537">
        <w:rPr>
          <w:rFonts w:ascii="Noor_Badr" w:hAnsi="Noor_Badr" w:cs="Noor_Badr"/>
          <w:sz w:val="32"/>
          <w:szCs w:val="32"/>
          <w:rtl/>
          <w:lang w:bidi="fa-IR"/>
        </w:rPr>
        <w:t>او را می شناسید</w:t>
      </w:r>
      <w:r w:rsidR="006B49C8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284EF1" w:rsidRPr="00DE6537">
        <w:rPr>
          <w:rFonts w:ascii="Noor_Badr" w:hAnsi="Noor_Badr" w:cs="Noor_Badr"/>
          <w:sz w:val="32"/>
          <w:szCs w:val="32"/>
          <w:rtl/>
          <w:lang w:bidi="fa-IR"/>
        </w:rPr>
        <w:t>که</w:t>
      </w:r>
      <w:r w:rsidR="006B49C8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چه آدمی است؟؛ علامه فرمود بله من دیوان او را</w:t>
      </w:r>
      <w:r w:rsidR="00CA20EF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6B49C8" w:rsidRPr="00DE6537">
        <w:rPr>
          <w:rFonts w:ascii="Noor_Badr" w:hAnsi="Noor_Badr" w:cs="Noor_Badr"/>
          <w:sz w:val="32"/>
          <w:szCs w:val="32"/>
          <w:rtl/>
          <w:lang w:bidi="fa-IR"/>
        </w:rPr>
        <w:t>دارم؛ بعد فرمود از امام حسین بر می آید که بخاطر همین یک بیت، تمام خطاهای ایرج میرزا را ببخشد و او را شفاعت کند.</w:t>
      </w:r>
    </w:p>
    <w:p w:rsidR="00190196" w:rsidRPr="00DE6537" w:rsidRDefault="00190196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190196" w:rsidRPr="00DE6537" w:rsidRDefault="00190196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کلام در فرمایش محقق عراقی بود و هفت اشکال بر آن عرض شد.</w:t>
      </w:r>
    </w:p>
    <w:p w:rsidR="00190196" w:rsidRPr="00DE6537" w:rsidRDefault="00DB3673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خلاصه کلام سید یزدی در عروه:</w:t>
      </w:r>
    </w:p>
    <w:p w:rsidR="000150FB" w:rsidRPr="00DE6537" w:rsidRDefault="000150FB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lastRenderedPageBreak/>
        <w:t>...فتحصل أنه إما عالم ببقاء العذر إلى آخر الوقت أو عالم بارتفاعه قبل الآخر أو محتمل للأمرين فيجوز المبادرة مع العلم بالبقاء و يجب التأخير مع العلم بالارتفاع و مع الاحتمال الأقوى جواز المبادرة خصوصا مع الظن بالبقاء و الأحوط التأخير خصوصا مع الظن بالارتفاع...</w:t>
      </w:r>
      <w:r w:rsidRPr="00DE653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  <w:r w:rsidRPr="00DE6537">
        <w:rPr>
          <w:rFonts w:ascii="Noor_Badr" w:hAnsi="Noor_Badr" w:cs="Noor_Badr"/>
          <w:sz w:val="32"/>
          <w:szCs w:val="32"/>
          <w:rtl/>
          <w:lang w:bidi="fa-IR"/>
        </w:rPr>
        <w:t>‌</w:t>
      </w:r>
    </w:p>
    <w:p w:rsidR="002552C3" w:rsidRPr="00DE6537" w:rsidRDefault="00CA20EF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411BCD" w:rsidRPr="00DE6537">
        <w:rPr>
          <w:rFonts w:ascii="Noor_Badr" w:hAnsi="Noor_Badr" w:cs="Noor_Badr"/>
          <w:sz w:val="32"/>
          <w:szCs w:val="32"/>
          <w:rtl/>
          <w:lang w:bidi="fa-IR"/>
        </w:rPr>
        <w:t>فیجوز المبادرة</w:t>
      </w:r>
      <w:r w:rsidRPr="00DE6537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411BCD" w:rsidRPr="00DE6537">
        <w:rPr>
          <w:rFonts w:ascii="Noor_Badr" w:hAnsi="Noor_Badr" w:cs="Noor_Badr"/>
          <w:sz w:val="32"/>
          <w:szCs w:val="32"/>
          <w:rtl/>
          <w:lang w:bidi="fa-IR"/>
        </w:rPr>
        <w:t>، محل تام</w:t>
      </w:r>
      <w:r w:rsidRPr="00DE6537">
        <w:rPr>
          <w:rFonts w:ascii="Noor_Badr" w:hAnsi="Noor_Badr" w:cs="Noor_Badr"/>
          <w:sz w:val="32"/>
          <w:szCs w:val="32"/>
          <w:rtl/>
          <w:lang w:bidi="fa-IR"/>
        </w:rPr>
        <w:t>ل است زیرا اقوی انتظار است تا یأ</w:t>
      </w:r>
      <w:r w:rsidR="00411BCD" w:rsidRPr="00DE6537">
        <w:rPr>
          <w:rFonts w:ascii="Noor_Badr" w:hAnsi="Noor_Badr" w:cs="Noor_Badr"/>
          <w:sz w:val="32"/>
          <w:szCs w:val="32"/>
          <w:rtl/>
          <w:lang w:bidi="fa-IR"/>
        </w:rPr>
        <w:t>س حاصل شود زیرا آیه می گوید عدم وجدان آب در ظرف وجوب نماز با خصوصیت کامل</w:t>
      </w:r>
      <w:r w:rsidRPr="00DE6537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411BCD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لذا کلام ایشان "الاحوط التاخیر" مؤید کلام ماست</w:t>
      </w:r>
      <w:r w:rsidR="002552C3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و همچنین "يجب التأخير مع العلم بالارتفاع".</w:t>
      </w:r>
    </w:p>
    <w:p w:rsidR="002552C3" w:rsidRPr="00DE6537" w:rsidRDefault="002552C3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و در جای دیگر می گوید:</w:t>
      </w:r>
    </w:p>
    <w:p w:rsidR="002552C3" w:rsidRPr="00DE6537" w:rsidRDefault="001B64A3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...</w:t>
      </w:r>
      <w:r w:rsidR="002552C3" w:rsidRPr="00DE6537">
        <w:rPr>
          <w:rFonts w:ascii="Noor_Badr" w:hAnsi="Noor_Badr" w:cs="Noor_Badr"/>
          <w:sz w:val="32"/>
          <w:szCs w:val="32"/>
          <w:rtl/>
          <w:lang w:bidi="fa-IR"/>
        </w:rPr>
        <w:t>لا يجب إعادة الصلوات التي صلاها بالتيمم الصحيح بعد زوال العذر</w:t>
      </w:r>
      <w:r w:rsidR="002552C3" w:rsidRPr="00DE6537">
        <w:rPr>
          <w:rFonts w:ascii="Noor_Badr" w:hAnsi="Noor_Badr" w:cs="Noor_Badr"/>
          <w:sz w:val="32"/>
          <w:szCs w:val="32"/>
          <w:lang w:bidi="fa-IR"/>
        </w:rPr>
        <w:t>‌</w:t>
      </w:r>
    </w:p>
    <w:p w:rsidR="002552C3" w:rsidRPr="00DE6537" w:rsidRDefault="002552C3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لا في الوقت و لا في خارجه</w:t>
      </w:r>
      <w:r w:rsidR="001B64A3" w:rsidRPr="00DE6537">
        <w:rPr>
          <w:rFonts w:ascii="Noor_Badr" w:hAnsi="Noor_Badr" w:cs="Noor_Badr"/>
          <w:sz w:val="32"/>
          <w:szCs w:val="32"/>
          <w:rtl/>
          <w:lang w:bidi="fa-IR"/>
        </w:rPr>
        <w:t>...</w:t>
      </w:r>
      <w:r w:rsidRPr="00DE653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2552C3" w:rsidRPr="00DE6537" w:rsidRDefault="009C5197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از مجموع کلمات سید استفاده می شود که در مقام فتوا با محقق عراقی </w:t>
      </w:r>
      <w:r w:rsidR="000F00AB" w:rsidRPr="00DE6537">
        <w:rPr>
          <w:rFonts w:ascii="Noor_Badr" w:hAnsi="Noor_Badr" w:cs="Noor_Badr"/>
          <w:sz w:val="32"/>
          <w:szCs w:val="32"/>
          <w:rtl/>
          <w:lang w:bidi="fa-IR"/>
        </w:rPr>
        <w:t>موافق است</w:t>
      </w:r>
      <w:r w:rsidR="00210B5A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بنابراین اشکالاتی که بر محقق ذکر شد بر سید نیز وارد است</w:t>
      </w:r>
      <w:r w:rsidR="00C80CDB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زیرا معتقد است که اعاده در وقت و قضا در خارج وقت واجب نیست و اگر اضطرار با پیدا شدن آب برطرف شود، رفع اضطرار در وقت موجب اعاده نمی شود و</w:t>
      </w:r>
      <w:r w:rsidR="00552645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در خارج وقت هم</w:t>
      </w:r>
      <w:r w:rsidR="00C80CDB" w:rsidRPr="00DE6537">
        <w:rPr>
          <w:rFonts w:ascii="Noor_Badr" w:hAnsi="Noor_Badr" w:cs="Noor_Badr"/>
          <w:sz w:val="32"/>
          <w:szCs w:val="32"/>
          <w:rtl/>
          <w:lang w:bidi="fa-IR"/>
        </w:rPr>
        <w:t xml:space="preserve"> دلیلی بر قضا نیست.</w:t>
      </w:r>
    </w:p>
    <w:p w:rsidR="00C80CDB" w:rsidRPr="00DE6537" w:rsidRDefault="00C80CDB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فرمایش ایشان نسبت به خارج وقت، مطابق قاعده است ولی نسبت به رفع اضطرار در وقت، محل کلام است.</w:t>
      </w:r>
    </w:p>
    <w:p w:rsidR="00C80CDB" w:rsidRPr="00DE6537" w:rsidRDefault="00C80CDB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ولقد اجاد السید الخوئی بقوله: فالنتیجة فی نهایة المطاف هی عدم قیام دلیل علی تعلق الامر الاضطراری بالعمل الناقص مع تمکن المکلف من الاتیان بالعمل التام فی اثناء الوقت</w:t>
      </w:r>
      <w:r w:rsidR="00F34B9E" w:rsidRPr="00DE6537">
        <w:rPr>
          <w:rFonts w:ascii="Noor_Badr" w:hAnsi="Noor_Badr" w:cs="Noor_Badr"/>
          <w:sz w:val="32"/>
          <w:szCs w:val="32"/>
          <w:rtl/>
          <w:lang w:bidi="fa-IR"/>
        </w:rPr>
        <w:t>.</w:t>
      </w:r>
      <w:r w:rsidRPr="00DE653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3"/>
      </w:r>
    </w:p>
    <w:p w:rsidR="00F34B9E" w:rsidRPr="00DE6537" w:rsidRDefault="00A74F3F" w:rsidP="00DE6537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DE6537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F34B9E" w:rsidRPr="00DE6537" w:rsidSect="00DE6537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4C4" w:rsidRDefault="009664C4" w:rsidP="00190196">
      <w:pPr>
        <w:spacing w:after="0" w:line="240" w:lineRule="auto"/>
      </w:pPr>
      <w:r>
        <w:separator/>
      </w:r>
    </w:p>
  </w:endnote>
  <w:endnote w:type="continuationSeparator" w:id="0">
    <w:p w:rsidR="009664C4" w:rsidRDefault="009664C4" w:rsidP="00190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4C4" w:rsidRDefault="009664C4" w:rsidP="00190196">
      <w:pPr>
        <w:spacing w:after="0" w:line="240" w:lineRule="auto"/>
      </w:pPr>
      <w:r>
        <w:separator/>
      </w:r>
    </w:p>
  </w:footnote>
  <w:footnote w:type="continuationSeparator" w:id="0">
    <w:p w:rsidR="009664C4" w:rsidRDefault="009664C4" w:rsidP="00190196">
      <w:pPr>
        <w:spacing w:after="0" w:line="240" w:lineRule="auto"/>
      </w:pPr>
      <w:r>
        <w:continuationSeparator/>
      </w:r>
    </w:p>
  </w:footnote>
  <w:footnote w:id="1">
    <w:p w:rsidR="000150FB" w:rsidRPr="000150FB" w:rsidRDefault="000150FB" w:rsidP="000150FB">
      <w:pPr>
        <w:pStyle w:val="FootnoteText"/>
        <w:rPr>
          <w:sz w:val="24"/>
          <w:szCs w:val="24"/>
        </w:rPr>
      </w:pPr>
      <w:r w:rsidRPr="000150FB">
        <w:rPr>
          <w:rStyle w:val="FootnoteReference"/>
          <w:sz w:val="24"/>
          <w:szCs w:val="24"/>
        </w:rPr>
        <w:footnoteRef/>
      </w:r>
      <w:r w:rsidRPr="000150FB">
        <w:rPr>
          <w:rFonts w:hint="cs"/>
          <w:sz w:val="24"/>
          <w:szCs w:val="24"/>
          <w:rtl/>
          <w:lang w:bidi="fa-IR"/>
        </w:rPr>
        <w:t>العروة الوثقى (للسيد اليزدي)، ج‌1، ص: 500‌</w:t>
      </w:r>
    </w:p>
    <w:p w:rsidR="000150FB" w:rsidRPr="000150FB" w:rsidRDefault="000150FB" w:rsidP="000150FB">
      <w:pPr>
        <w:pStyle w:val="FootnoteText"/>
        <w:rPr>
          <w:sz w:val="24"/>
          <w:szCs w:val="24"/>
          <w:rtl/>
        </w:rPr>
      </w:pPr>
      <w:r w:rsidRPr="000150FB">
        <w:rPr>
          <w:rFonts w:hint="cs"/>
          <w:sz w:val="24"/>
          <w:szCs w:val="24"/>
          <w:rtl/>
          <w:lang w:bidi="fa-IR"/>
        </w:rPr>
        <w:t>فصل في أحكام التيمم</w:t>
      </w:r>
      <w:r w:rsidR="00703F99">
        <w:rPr>
          <w:rFonts w:hint="cs"/>
          <w:sz w:val="24"/>
          <w:szCs w:val="24"/>
          <w:rtl/>
          <w:lang w:bidi="fa-IR"/>
        </w:rPr>
        <w:t>-مساله</w:t>
      </w:r>
      <w:r w:rsidR="001478E9">
        <w:rPr>
          <w:rFonts w:hint="cs"/>
          <w:sz w:val="24"/>
          <w:szCs w:val="24"/>
          <w:rtl/>
          <w:lang w:bidi="fa-IR"/>
        </w:rPr>
        <w:t>3</w:t>
      </w:r>
      <w:r w:rsidRPr="000150FB">
        <w:rPr>
          <w:rFonts w:hint="cs"/>
          <w:sz w:val="24"/>
          <w:szCs w:val="24"/>
        </w:rPr>
        <w:t>‌</w:t>
      </w:r>
      <w:r w:rsidRPr="000150FB">
        <w:rPr>
          <w:sz w:val="24"/>
          <w:szCs w:val="24"/>
        </w:rPr>
        <w:t xml:space="preserve"> </w:t>
      </w:r>
    </w:p>
  </w:footnote>
  <w:footnote w:id="2">
    <w:p w:rsidR="002552C3" w:rsidRPr="002552C3" w:rsidRDefault="002552C3">
      <w:pPr>
        <w:pStyle w:val="FootnoteText"/>
        <w:rPr>
          <w:sz w:val="24"/>
          <w:szCs w:val="24"/>
          <w:rtl/>
          <w:lang w:bidi="fa-IR"/>
        </w:rPr>
      </w:pPr>
      <w:r w:rsidRPr="002552C3">
        <w:rPr>
          <w:rStyle w:val="FootnoteReference"/>
          <w:sz w:val="24"/>
          <w:szCs w:val="24"/>
        </w:rPr>
        <w:footnoteRef/>
      </w:r>
      <w:r w:rsidRPr="002552C3">
        <w:rPr>
          <w:sz w:val="24"/>
          <w:szCs w:val="24"/>
        </w:rPr>
        <w:t xml:space="preserve"> </w:t>
      </w:r>
      <w:r w:rsidRPr="002552C3">
        <w:rPr>
          <w:rFonts w:hint="cs"/>
          <w:sz w:val="24"/>
          <w:szCs w:val="24"/>
          <w:rtl/>
          <w:lang w:bidi="fa-IR"/>
        </w:rPr>
        <w:t>همان</w:t>
      </w:r>
      <w:r w:rsidR="00703F99">
        <w:rPr>
          <w:rFonts w:hint="cs"/>
          <w:sz w:val="24"/>
          <w:szCs w:val="24"/>
          <w:rtl/>
          <w:lang w:bidi="fa-IR"/>
        </w:rPr>
        <w:t>-ص502</w:t>
      </w:r>
      <w:r w:rsidRPr="002552C3">
        <w:rPr>
          <w:rFonts w:hint="cs"/>
          <w:sz w:val="24"/>
          <w:szCs w:val="24"/>
          <w:rtl/>
          <w:lang w:bidi="fa-IR"/>
        </w:rPr>
        <w:t>-مساله8</w:t>
      </w:r>
    </w:p>
  </w:footnote>
  <w:footnote w:id="3">
    <w:p w:rsidR="00C80CDB" w:rsidRPr="00C80CDB" w:rsidRDefault="00C80CDB">
      <w:pPr>
        <w:pStyle w:val="FootnoteText"/>
        <w:rPr>
          <w:sz w:val="24"/>
          <w:szCs w:val="24"/>
          <w:rtl/>
          <w:lang w:bidi="fa-IR"/>
        </w:rPr>
      </w:pPr>
      <w:r w:rsidRPr="00C80CDB">
        <w:rPr>
          <w:rStyle w:val="FootnoteReference"/>
          <w:sz w:val="24"/>
          <w:szCs w:val="24"/>
        </w:rPr>
        <w:footnoteRef/>
      </w:r>
      <w:r w:rsidRPr="00C80CDB">
        <w:rPr>
          <w:sz w:val="24"/>
          <w:szCs w:val="24"/>
        </w:rPr>
        <w:t xml:space="preserve"> </w:t>
      </w:r>
      <w:r w:rsidRPr="00C80CDB">
        <w:rPr>
          <w:rFonts w:hint="cs"/>
          <w:sz w:val="24"/>
          <w:szCs w:val="24"/>
          <w:rtl/>
        </w:rPr>
        <w:t>محاضرات ج2 ص253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388"/>
    <w:rsid w:val="000150FB"/>
    <w:rsid w:val="000F00AB"/>
    <w:rsid w:val="001478E9"/>
    <w:rsid w:val="00182273"/>
    <w:rsid w:val="00190196"/>
    <w:rsid w:val="001B64A3"/>
    <w:rsid w:val="00210B5A"/>
    <w:rsid w:val="002552C3"/>
    <w:rsid w:val="00284EF1"/>
    <w:rsid w:val="00411BCD"/>
    <w:rsid w:val="00552645"/>
    <w:rsid w:val="005C7205"/>
    <w:rsid w:val="00650874"/>
    <w:rsid w:val="006B49C8"/>
    <w:rsid w:val="00703F99"/>
    <w:rsid w:val="00785C24"/>
    <w:rsid w:val="009664C4"/>
    <w:rsid w:val="009967DF"/>
    <w:rsid w:val="009C5197"/>
    <w:rsid w:val="00A469C2"/>
    <w:rsid w:val="00A74F3F"/>
    <w:rsid w:val="00AF38EC"/>
    <w:rsid w:val="00BE1253"/>
    <w:rsid w:val="00C65A15"/>
    <w:rsid w:val="00C80CDB"/>
    <w:rsid w:val="00CA20EF"/>
    <w:rsid w:val="00DB3673"/>
    <w:rsid w:val="00DE6537"/>
    <w:rsid w:val="00E60388"/>
    <w:rsid w:val="00EB0392"/>
    <w:rsid w:val="00F3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0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196"/>
  </w:style>
  <w:style w:type="paragraph" w:styleId="Footer">
    <w:name w:val="footer"/>
    <w:basedOn w:val="Normal"/>
    <w:link w:val="FooterChar"/>
    <w:uiPriority w:val="99"/>
    <w:unhideWhenUsed/>
    <w:rsid w:val="00190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196"/>
  </w:style>
  <w:style w:type="paragraph" w:styleId="FootnoteText">
    <w:name w:val="footnote text"/>
    <w:basedOn w:val="Normal"/>
    <w:link w:val="FootnoteTextChar"/>
    <w:uiPriority w:val="99"/>
    <w:semiHidden/>
    <w:unhideWhenUsed/>
    <w:rsid w:val="000150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50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50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50F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0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196"/>
  </w:style>
  <w:style w:type="paragraph" w:styleId="Footer">
    <w:name w:val="footer"/>
    <w:basedOn w:val="Normal"/>
    <w:link w:val="FooterChar"/>
    <w:uiPriority w:val="99"/>
    <w:unhideWhenUsed/>
    <w:rsid w:val="00190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196"/>
  </w:style>
  <w:style w:type="paragraph" w:styleId="FootnoteText">
    <w:name w:val="footnote text"/>
    <w:basedOn w:val="Normal"/>
    <w:link w:val="FootnoteTextChar"/>
    <w:uiPriority w:val="99"/>
    <w:semiHidden/>
    <w:unhideWhenUsed/>
    <w:rsid w:val="000150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50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50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50F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20</cp:revision>
  <dcterms:created xsi:type="dcterms:W3CDTF">2018-12-31T06:28:00Z</dcterms:created>
  <dcterms:modified xsi:type="dcterms:W3CDTF">2020-08-23T04:09:00Z</dcterms:modified>
</cp:coreProperties>
</file>